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2F3CB6" w:rsidRPr="002F3CB6" w14:paraId="38A9C438" w14:textId="77777777" w:rsidTr="002F3CB6">
        <w:tc>
          <w:tcPr>
            <w:tcW w:w="0" w:type="auto"/>
            <w:tcMar>
              <w:top w:w="0" w:type="dxa"/>
              <w:left w:w="135" w:type="dxa"/>
              <w:bottom w:w="135" w:type="dxa"/>
              <w:right w:w="135" w:type="dxa"/>
            </w:tcMar>
            <w:hideMark/>
          </w:tcPr>
          <w:p w14:paraId="617AA21B" w14:textId="77777777" w:rsidR="002F3CB6" w:rsidRPr="002F3CB6" w:rsidRDefault="002F3CB6" w:rsidP="002F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3C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drawing>
                <wp:inline distT="0" distB="0" distL="0" distR="0" wp14:anchorId="1638C637" wp14:editId="1B18E0BC">
                  <wp:extent cx="5362575" cy="166687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CB6" w:rsidRPr="002F3CB6" w14:paraId="273ACF8B" w14:textId="77777777" w:rsidTr="002F3CB6">
        <w:tc>
          <w:tcPr>
            <w:tcW w:w="8445" w:type="dxa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3425AC6D" w14:textId="37FBB1CE" w:rsidR="002F3CB6" w:rsidRDefault="002F3CB6" w:rsidP="002F3CB6">
            <w:pPr>
              <w:spacing w:after="240" w:line="48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</w:pPr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br/>
              <w:t>Bratislava Office of Friedrich-Ebert-Stiftung</w:t>
            </w:r>
            <w:r w:rsidR="00E979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and </w:t>
            </w:r>
            <w:proofErr w:type="spellStart"/>
            <w:r w:rsidR="00E979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="00E979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="00E979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Euractiv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invite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You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to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online event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titled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"</w:t>
            </w:r>
            <w:proofErr w:type="spellStart"/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Arms</w:t>
            </w:r>
            <w:proofErr w:type="spellEnd"/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Control</w:t>
            </w:r>
            <w:proofErr w:type="spellEnd"/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 xml:space="preserve"> Post-</w:t>
            </w:r>
            <w:proofErr w:type="spellStart"/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Pandemics</w:t>
            </w:r>
            <w:proofErr w:type="spellEnd"/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 xml:space="preserve">: </w:t>
            </w:r>
            <w:proofErr w:type="spellStart"/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Start</w:t>
            </w:r>
            <w:proofErr w:type="spellEnd"/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 xml:space="preserve"> of </w:t>
            </w:r>
            <w:proofErr w:type="spellStart"/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 xml:space="preserve"> New </w:t>
            </w:r>
            <w:proofErr w:type="spellStart"/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Arms</w:t>
            </w:r>
            <w:proofErr w:type="spellEnd"/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Race</w:t>
            </w:r>
            <w:proofErr w:type="spellEnd"/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?"</w:t>
            </w:r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which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will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be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held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on </w:t>
            </w:r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November 11, 2020</w:t>
            </w:r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starting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at </w:t>
            </w:r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10:00 AM CET</w:t>
            </w:r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. Event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will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be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held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via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Zoom.</w:t>
            </w:r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br/>
              <w:t xml:space="preserve">Both panel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discussions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will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be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held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in English.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Simultaneouos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interpretation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will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not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be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available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.</w:t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drawing>
                <wp:anchor distT="0" distB="0" distL="0" distR="0" simplePos="0" relativeHeight="251659264" behindDoc="0" locked="0" layoutInCell="1" allowOverlap="0" wp14:anchorId="24723AFB" wp14:editId="4D4D68E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571875" cy="352425"/>
                  <wp:effectExtent l="0" t="0" r="9525" b="9525"/>
                  <wp:wrapSquare wrapText="bothSides"/>
                  <wp:docPr id="4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URBAN ÜBERSCHÄR</w:t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Director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for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Czech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Republic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and Slovakia, Friedrich-Ebert-Stiftung</w:t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&amp;quot" w:eastAsia="Times New Roman" w:hAnsi="&amp;quot" w:cs="Times New Roman"/>
                <w:noProof/>
                <w:color w:val="222222"/>
                <w:sz w:val="20"/>
                <w:szCs w:val="20"/>
                <w:lang w:eastAsia="sk-SK"/>
              </w:rPr>
              <w:drawing>
                <wp:inline distT="0" distB="0" distL="0" distR="0" wp14:anchorId="2DBD5455" wp14:editId="53591D7D">
                  <wp:extent cx="3524250" cy="352425"/>
                  <wp:effectExtent l="0" t="0" r="0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In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midst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of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pandemic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several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crucial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arms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control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pursuits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have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been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postponed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including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10th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Review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Conference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for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nuclear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Non-Proliferation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Treaty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(NPT).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But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many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keep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on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being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at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centre of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attention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New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Strategic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Arms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Reduction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Treaty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(START)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expires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in 2021 and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experts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are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already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warning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of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potential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arms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race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.</w:t>
            </w:r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br/>
            </w:r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br/>
              <w:t xml:space="preserve">At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background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indications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of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increasing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budgets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appear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not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only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in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U.S. and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Russia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but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also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in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other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countries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including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China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and India.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For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first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time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in over 40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years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world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facing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long-forgotten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security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risk: no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arms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control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regime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with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potential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of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arms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proliferation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.</w:t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lastRenderedPageBreak/>
              <w:t>AMBASSADOR RÜDIGER BOHN</w:t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Deputy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Federal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Government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Commissioner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for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Disarmament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and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Arms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Control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German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Federal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Foreign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Ministry</w:t>
            </w:r>
            <w:proofErr w:type="spellEnd"/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ALICIA SANDERS-ZAKRE</w:t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Policy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and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Research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Coordinator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International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Campaign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to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Abolish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Nuclear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Weapons</w:t>
            </w:r>
            <w:proofErr w:type="spellEnd"/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TYTTI ERASTÖ</w:t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Senior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Researcher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SIPRI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Nuclear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Disarmament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Arms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Control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and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Non-Proliferation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Programme</w:t>
            </w:r>
            <w:proofErr w:type="spellEnd"/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RALUCA CSERNATONI</w:t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Visiting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Researcher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Carnegie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Europe</w:t>
            </w:r>
            <w:proofErr w:type="spellEnd"/>
          </w:p>
          <w:p w14:paraId="5AEC2B47" w14:textId="77777777" w:rsidR="002F3CB6" w:rsidRDefault="002F3CB6" w:rsidP="002F3CB6">
            <w:pPr>
              <w:spacing w:after="240" w:line="48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</w:pPr>
          </w:p>
          <w:p w14:paraId="63D96D16" w14:textId="24548E84" w:rsidR="002F3CB6" w:rsidRPr="002F3CB6" w:rsidRDefault="002F3CB6" w:rsidP="002F3CB6">
            <w:pPr>
              <w:spacing w:after="240" w:line="480" w:lineRule="auto"/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</w:pP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drawing>
                <wp:anchor distT="0" distB="0" distL="0" distR="0" simplePos="0" relativeHeight="251660288" behindDoc="0" locked="0" layoutInCell="1" allowOverlap="0" wp14:anchorId="1CCD31BC" wp14:editId="06F9AD4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524250" cy="352425"/>
                  <wp:effectExtent l="0" t="0" r="0" b="9525"/>
                  <wp:wrapSquare wrapText="bothSides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Conventional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arms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control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politically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and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militarily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relevant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also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for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Central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Europe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and Slovakia.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Although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for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Slovakia,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arms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proliferation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and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their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control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seem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to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be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faraway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matters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security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implications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are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beyond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relevant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With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new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government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in Bratislava,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strongly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supporting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NATO's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crucial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role in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defense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and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security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however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not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clear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what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arms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control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solution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or type of a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dialogue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with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relevant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actors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prefers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.</w:t>
            </w:r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br/>
            </w:r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br/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Although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number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of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past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declarations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to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uphold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international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initiatives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aimed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at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preventing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illegal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acquisition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of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hazardous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materials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and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goods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or export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control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of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military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products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including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guns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were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agreed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upon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stepping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beyond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proclamations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is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lagging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. In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context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of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enlarging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attempts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for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European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strategic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autonomy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many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new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waters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will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have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to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be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explored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.</w:t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lastRenderedPageBreak/>
              <w:t>TOMÁŠ A. NAGY</w:t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Ministry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of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Defense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of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Slovak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Republic</w:t>
            </w:r>
            <w:proofErr w:type="spellEnd"/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RASTISLAV KRIŽAN</w:t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Ministry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of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Foreign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and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European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Affairs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of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Slovak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Republic</w:t>
            </w:r>
            <w:proofErr w:type="spellEnd"/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r w:rsidRPr="002F3CB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sk-SK"/>
              </w:rPr>
              <w:t>MIKULÁŠ TURNER</w:t>
            </w:r>
            <w:r w:rsidRPr="002F3CB6">
              <w:rPr>
                <w:rFonts w:ascii="&amp;quot" w:eastAsia="Times New Roman" w:hAnsi="&amp;quot" w:cs="Times New Roman"/>
                <w:color w:val="222222"/>
                <w:sz w:val="20"/>
                <w:szCs w:val="20"/>
                <w:lang w:eastAsia="sk-SK"/>
              </w:rPr>
              <w:br/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Nuclear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Regulatory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Authority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of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the</w:t>
            </w:r>
            <w:proofErr w:type="spellEnd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 xml:space="preserve"> Slovak </w:t>
            </w:r>
            <w:proofErr w:type="spellStart"/>
            <w:r w:rsidRPr="002F3CB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k-SK"/>
              </w:rPr>
              <w:t>Republic</w:t>
            </w:r>
            <w:proofErr w:type="spellEnd"/>
          </w:p>
        </w:tc>
      </w:tr>
    </w:tbl>
    <w:p w14:paraId="19D571C6" w14:textId="77777777" w:rsidR="002F3CB6" w:rsidRDefault="002F3CB6"/>
    <w:sectPr w:rsidR="002F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B6"/>
    <w:rsid w:val="00210A04"/>
    <w:rsid w:val="002F3CB6"/>
    <w:rsid w:val="00E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8A9F"/>
  <w15:chartTrackingRefBased/>
  <w15:docId w15:val="{C3C98226-FC2E-468A-A18E-96C45F88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4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Homer</dc:creator>
  <cp:keywords/>
  <dc:description/>
  <cp:lastModifiedBy>Kristina Janos Kanianska</cp:lastModifiedBy>
  <cp:revision>2</cp:revision>
  <cp:lastPrinted>2020-11-04T10:57:00Z</cp:lastPrinted>
  <dcterms:created xsi:type="dcterms:W3CDTF">2020-11-11T09:34:00Z</dcterms:created>
  <dcterms:modified xsi:type="dcterms:W3CDTF">2020-11-11T09:34:00Z</dcterms:modified>
</cp:coreProperties>
</file>